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BE" w:rsidRPr="00DF5CBE" w:rsidRDefault="00DF5CBE" w:rsidP="00DF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CBE">
        <w:rPr>
          <w:rFonts w:ascii="Calibri" w:eastAsia="Times New Roman" w:hAnsi="Calibri" w:cs="Calibri"/>
          <w:b/>
          <w:bCs/>
          <w:color w:val="4F81BD"/>
          <w:sz w:val="20"/>
          <w:szCs w:val="20"/>
          <w:lang w:eastAsia="es-ES"/>
        </w:rPr>
        <w:t>GUIÓN PARA EL COMENTARIO DE UN GRÁFICO:</w:t>
      </w:r>
    </w:p>
    <w:p w:rsidR="00DF5CBE" w:rsidRPr="00DF5CBE" w:rsidRDefault="005E793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4F81BD"/>
          <w:sz w:val="20"/>
          <w:szCs w:val="20"/>
          <w:u w:val="single"/>
          <w:lang w:eastAsia="es-ES"/>
        </w:rPr>
        <w:t>1) IDENTIFICAR</w:t>
      </w:r>
      <w:proofErr w:type="gramStart"/>
      <w:r>
        <w:rPr>
          <w:rFonts w:ascii="Calibri" w:eastAsia="Times New Roman" w:hAnsi="Calibri" w:cs="Calibri"/>
          <w:b/>
          <w:bCs/>
          <w:color w:val="4F81BD"/>
          <w:sz w:val="20"/>
          <w:szCs w:val="20"/>
          <w:u w:val="single"/>
          <w:lang w:eastAsia="es-ES"/>
        </w:rPr>
        <w:t>:</w:t>
      </w:r>
      <w:r w:rsidR="00DF5CBE" w:rsidRPr="00DF5CBE">
        <w:rPr>
          <w:rFonts w:ascii="Calibri" w:eastAsia="Times New Roman" w:hAnsi="Calibri" w:cs="Calibri"/>
          <w:color w:val="4F81BD"/>
          <w:sz w:val="20"/>
          <w:szCs w:val="20"/>
          <w:lang w:eastAsia="es-ES"/>
        </w:rPr>
        <w:t>:</w:t>
      </w:r>
      <w:proofErr w:type="gramEnd"/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catalogar la fuente o documento. Consiste en dar la información más imprescindible en unas 30 o 40 palabras.</w:t>
      </w:r>
    </w:p>
    <w:p w:rsidR="00DF5CBE" w:rsidRPr="00DF5CBE" w:rsidRDefault="00DF5CBE" w:rsidP="00DF5CBE">
      <w:pPr>
        <w:spacing w:after="0" w:line="240" w:lineRule="auto"/>
        <w:ind w:left="290" w:firstLine="28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149860</wp:posOffset>
            </wp:positionV>
            <wp:extent cx="2409825" cy="1895475"/>
            <wp:effectExtent l="19050" t="0" r="9525" b="0"/>
            <wp:wrapSquare wrapText="bothSides"/>
            <wp:docPr id="1" name="Imagen 1" descr="https://lh3.googleusercontent.com/AKt4LJuS2pcG93rZq-dLo_2VkB42XrWaTgvZXMLvbHLmLbtdx8xhW797p3k0wBY0j5Q5avbRT1MNK1OuZk6I1aJIbacf-sUiAX5utme-SqcD-vk3wiZwQCZu1v5u8urCwELOTq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Kt4LJuS2pcG93rZq-dLo_2VkB42XrWaTgvZXMLvbHLmLbtdx8xhW797p3k0wBY0j5Q5avbRT1MNK1OuZk6I1aJIbacf-sUiAX5utme-SqcD-vk3wiZwQCZu1v5u8urCwELOTqL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-</w:t>
      </w:r>
      <w:r w:rsidRPr="00DF5CB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</w:t>
      </w: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Tipo de gráfico: barras, circular, curva, tabla </w:t>
      </w:r>
      <w:r w:rsidR="005E793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estadística, en forma de mapa (en ese caso hay que aclarar el tipo de representación que se utiliza en el mapa como colores, flechas, cantidades proporcionales...).</w:t>
      </w:r>
    </w:p>
    <w:p w:rsidR="00DF5CBE" w:rsidRPr="00DF5CBE" w:rsidRDefault="00DF5CBE" w:rsidP="00DF5CBE">
      <w:pPr>
        <w:spacing w:after="0" w:line="240" w:lineRule="auto"/>
        <w:ind w:left="29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-   Fenómeno que aparece representado, y si es de carácter político, económico, social...</w:t>
      </w:r>
    </w:p>
    <w:p w:rsidR="00DF5CBE" w:rsidRPr="00DF5CBE" w:rsidRDefault="00DF5CBE" w:rsidP="00DF5CBE">
      <w:pPr>
        <w:spacing w:after="0" w:line="240" w:lineRule="auto"/>
        <w:ind w:left="290" w:firstLine="28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-</w:t>
      </w:r>
      <w:r w:rsidRPr="00DF5CB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</w:t>
      </w: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Fecha o periodo histórico que se representa y el lugar a que hace referencia.</w:t>
      </w:r>
    </w:p>
    <w:p w:rsidR="00DF5CBE" w:rsidRPr="00DF5CBE" w:rsidRDefault="00DF5CBE" w:rsidP="00DF5CBE">
      <w:pPr>
        <w:spacing w:after="0" w:line="240" w:lineRule="auto"/>
        <w:ind w:left="290" w:firstLine="28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-   Autor: generalmente no aparece, pero en ocasiones puede aparecer en una de las esquinas la fuente de la que procede ese documento. </w:t>
      </w:r>
    </w:p>
    <w:p w:rsidR="00DF5CBE" w:rsidRPr="00DF5CBE" w:rsidRDefault="00DF5CBE" w:rsidP="00DF5CBE">
      <w:pPr>
        <w:spacing w:after="0" w:line="240" w:lineRule="auto"/>
        <w:ind w:left="290" w:firstLine="28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- Origen: en este caso casi siempre encontramos fuentes secundarias </w:t>
      </w:r>
    </w:p>
    <w:p w:rsidR="00DF5CBE" w:rsidRPr="00DF5CBE" w:rsidRDefault="00DF5CB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CBE" w:rsidRDefault="00DF5CBE" w:rsidP="00DF5CBE">
      <w:pPr>
        <w:spacing w:after="0" w:line="240" w:lineRule="auto"/>
        <w:jc w:val="both"/>
        <w:rPr>
          <w:rFonts w:ascii="Calibri" w:eastAsia="Times New Roman" w:hAnsi="Calibri" w:cs="Calibri"/>
          <w:color w:val="0B5394"/>
          <w:sz w:val="20"/>
          <w:szCs w:val="20"/>
          <w:lang w:eastAsia="es-ES"/>
        </w:rPr>
      </w:pPr>
      <w:r w:rsidRPr="00DF5CBE">
        <w:rPr>
          <w:rFonts w:ascii="Calibri" w:eastAsia="Times New Roman" w:hAnsi="Calibri" w:cs="Calibri"/>
          <w:color w:val="0B5394"/>
          <w:sz w:val="20"/>
          <w:szCs w:val="20"/>
          <w:lang w:eastAsia="es-ES"/>
        </w:rPr>
        <w:t>En este documento tenemos una combinación de un mapa de España y un gráfico de círculos proporcionales, que  nos informa del valor en millones de reales de las fincas desamortizadas, por provincias, en época de Mendizábal, es decir, en 1836-7, cuando éste fue ministro de Hacienda en el gobierno de Calatrava, durante la Regencia de María Cristina de Borbón. Es una fuente histórica de origen secundario, de contenido político-económico, y de destinatario público.</w:t>
      </w:r>
    </w:p>
    <w:p w:rsidR="00DF5CBE" w:rsidRPr="00DF5CBE" w:rsidRDefault="00DF5CBE" w:rsidP="00D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CBE" w:rsidRPr="00DF5CBE" w:rsidRDefault="005E793E" w:rsidP="00D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793E">
        <w:rPr>
          <w:rFonts w:ascii="Calibri" w:eastAsia="Times New Roman" w:hAnsi="Calibri" w:cs="Calibri"/>
          <w:b/>
          <w:color w:val="4F81BD"/>
          <w:sz w:val="20"/>
          <w:szCs w:val="20"/>
          <w:u w:val="single"/>
          <w:lang w:eastAsia="es-ES"/>
        </w:rPr>
        <w:t>2)</w:t>
      </w:r>
      <w:r>
        <w:rPr>
          <w:rFonts w:ascii="Calibri" w:eastAsia="Times New Roman" w:hAnsi="Calibri" w:cs="Calibri"/>
          <w:b/>
          <w:color w:val="4F81BD"/>
          <w:sz w:val="20"/>
          <w:szCs w:val="20"/>
          <w:u w:val="single"/>
          <w:lang w:eastAsia="es-ES"/>
        </w:rPr>
        <w:t xml:space="preserve"> </w:t>
      </w:r>
      <w:r w:rsidRPr="005E793E">
        <w:rPr>
          <w:rFonts w:ascii="Calibri" w:eastAsia="Times New Roman" w:hAnsi="Calibri" w:cs="Calibri"/>
          <w:b/>
          <w:color w:val="4F81BD"/>
          <w:sz w:val="20"/>
          <w:szCs w:val="20"/>
          <w:u w:val="single"/>
          <w:lang w:eastAsia="es-ES"/>
        </w:rPr>
        <w:t>DESCRIBIR</w:t>
      </w:r>
      <w:r w:rsidR="00DF5CBE" w:rsidRPr="00DF5CBE">
        <w:rPr>
          <w:rFonts w:ascii="Calibri" w:eastAsia="Times New Roman" w:hAnsi="Calibri" w:cs="Calibri"/>
          <w:color w:val="4F81BD"/>
          <w:sz w:val="20"/>
          <w:szCs w:val="20"/>
          <w:lang w:eastAsia="es-ES"/>
        </w:rPr>
        <w:t>:</w:t>
      </w:r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después hay que hacer una sencilla descripción de la forma en que la gráfica representa el fenómeno: describir lo que aparece en la leyenda, ya sean colores, flechas de flujo, símbolos, etc., indicando lo que significan cada uno de estos elementos; también lo que aparece en el eje vertical, en el horizontal y en qué unidades (</w:t>
      </w:r>
      <w:proofErr w:type="spellStart"/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kilometros</w:t>
      </w:r>
      <w:proofErr w:type="spellEnd"/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años…), y los intervalos (de 10 en 10, de 1 en 1…), o los porcentajes, si se representan valores relativos.</w:t>
      </w:r>
    </w:p>
    <w:p w:rsidR="00DF5CBE" w:rsidRPr="00DF5CBE" w:rsidRDefault="00DF5CB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CBE" w:rsidRDefault="00DF5CBE" w:rsidP="00DF5CBE">
      <w:pPr>
        <w:spacing w:after="0" w:line="240" w:lineRule="auto"/>
        <w:jc w:val="both"/>
        <w:rPr>
          <w:rFonts w:ascii="Calibri" w:eastAsia="Times New Roman" w:hAnsi="Calibri" w:cs="Calibri"/>
          <w:color w:val="0B5394"/>
          <w:sz w:val="20"/>
          <w:szCs w:val="20"/>
          <w:lang w:eastAsia="es-ES"/>
        </w:rPr>
      </w:pPr>
      <w:r w:rsidRPr="00DF5CBE">
        <w:rPr>
          <w:rFonts w:ascii="Calibri" w:eastAsia="Times New Roman" w:hAnsi="Calibri" w:cs="Calibri"/>
          <w:color w:val="0B5394"/>
          <w:sz w:val="20"/>
          <w:szCs w:val="20"/>
          <w:lang w:eastAsia="es-ES"/>
        </w:rPr>
        <w:t>Sobre el mapa aparecen círculos de distintos tamaños de color amarillo, los de mayor tamaño indican fincas desamortizadas por un valor de 400 millones de reales, y los de menor tamaño representan fincas desamortizadas por valor de  un millón de reales. Junto a los círculos vemos los nombres de las provincias.</w:t>
      </w:r>
    </w:p>
    <w:p w:rsidR="00DF5CBE" w:rsidRPr="00DF5CBE" w:rsidRDefault="00DF5CBE" w:rsidP="00D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CBE" w:rsidRPr="00DF5CBE" w:rsidRDefault="005E793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793E">
        <w:rPr>
          <w:rFonts w:ascii="Calibri" w:eastAsia="Times New Roman" w:hAnsi="Calibri" w:cs="Calibri"/>
          <w:b/>
          <w:color w:val="4F81BD"/>
          <w:sz w:val="20"/>
          <w:szCs w:val="20"/>
          <w:u w:val="single"/>
          <w:lang w:eastAsia="es-ES"/>
        </w:rPr>
        <w:t>3) ANALIZAR</w:t>
      </w:r>
      <w:r w:rsidR="00DF5CBE" w:rsidRPr="00DF5CBE">
        <w:rPr>
          <w:rFonts w:ascii="Calibri" w:eastAsia="Times New Roman" w:hAnsi="Calibri" w:cs="Calibri"/>
          <w:color w:val="4F81BD"/>
          <w:sz w:val="20"/>
          <w:szCs w:val="20"/>
          <w:lang w:eastAsia="es-ES"/>
        </w:rPr>
        <w:t>:</w:t>
      </w:r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el siguiente paso es hacer un análisis de la propia gráfica, explicando todos los fenómenos que aparecen representados, su variación o su importancia, y lo que significan. Es como leerlo despacio, interpretando todos los datos, y aclarándolos por escrito. No es difícil pues tenéis toda la información delante. Puede ocupar de 50 a 100 palabras, según la complejidad del gráfico, pero, en general, es mejor resumir y no perder mucho tiempo.</w:t>
      </w:r>
    </w:p>
    <w:p w:rsidR="00DF5CBE" w:rsidRDefault="00DF5CBE" w:rsidP="00DF5CBE">
      <w:pPr>
        <w:spacing w:after="0" w:line="240" w:lineRule="auto"/>
        <w:rPr>
          <w:rFonts w:ascii="Calibri" w:eastAsia="Times New Roman" w:hAnsi="Calibri" w:cs="Calibri"/>
          <w:color w:val="0B5394"/>
          <w:sz w:val="20"/>
          <w:szCs w:val="20"/>
          <w:lang w:eastAsia="es-ES"/>
        </w:rPr>
      </w:pPr>
      <w:r w:rsidRPr="00DF5CBE">
        <w:rPr>
          <w:rFonts w:ascii="Calibri" w:eastAsia="Times New Roman" w:hAnsi="Calibri" w:cs="Calibri"/>
          <w:color w:val="0B5394"/>
          <w:sz w:val="20"/>
          <w:szCs w:val="20"/>
          <w:lang w:eastAsia="es-ES"/>
        </w:rPr>
        <w:t>La provincia con mayor valor de fincas desamortizadas es Sevilla,  con 400 millones de reales, seguida de Madrid, con 200, Valencia con 100, y a mucha distancia, el resto de las provincias, siendo las provincias con menor valor las de la cornisa cantábrica o la región de La Mancha.</w:t>
      </w:r>
    </w:p>
    <w:p w:rsidR="00DF5CBE" w:rsidRPr="00DF5CBE" w:rsidRDefault="00DF5CB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CBE" w:rsidRPr="00DF5CBE" w:rsidRDefault="005E793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4F81BD"/>
          <w:sz w:val="20"/>
          <w:szCs w:val="20"/>
          <w:u w:val="single"/>
          <w:lang w:eastAsia="es-ES"/>
        </w:rPr>
        <w:t>4) COMENTAR</w:t>
      </w:r>
      <w:r w:rsidR="00DF5CBE" w:rsidRPr="00DF5CBE">
        <w:rPr>
          <w:rFonts w:ascii="Calibri" w:eastAsia="Times New Roman" w:hAnsi="Calibri" w:cs="Calibri"/>
          <w:color w:val="4F81BD"/>
          <w:sz w:val="20"/>
          <w:szCs w:val="20"/>
          <w:lang w:eastAsia="es-ES"/>
        </w:rPr>
        <w:t>:</w:t>
      </w:r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por último hay que proceder a hacer un comentario, relacionando el fenómeno que representa y la situación histórica, pero de información </w:t>
      </w:r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>muy concreta</w:t>
      </w:r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sin divagar ni decir generalidades, y mucho menos opiniones personales (hay que ser un historiador de mucho prestigio para poder opinar), información que hay que tomar de los apuntes (que habrá que estudiar previamente, claro :)</w:t>
      </w:r>
    </w:p>
    <w:p w:rsidR="00DF5CBE" w:rsidRDefault="00DF5CBE" w:rsidP="00DF5C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Copio textualmente lo que tenéis en los apuntes:</w:t>
      </w:r>
    </w:p>
    <w:p w:rsidR="00DF5CBE" w:rsidRPr="00DF5CBE" w:rsidRDefault="00DF5CB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5CBE" w:rsidRPr="00DF5CBE" w:rsidRDefault="00DF5CBE" w:rsidP="00D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5CBE">
        <w:rPr>
          <w:rFonts w:ascii="Calibri" w:eastAsia="Times New Roman" w:hAnsi="Calibri" w:cs="Calibri"/>
          <w:color w:val="0B5394"/>
          <w:sz w:val="20"/>
          <w:szCs w:val="20"/>
          <w:lang w:eastAsia="es-ES"/>
        </w:rPr>
        <w:t xml:space="preserve">La desamortización emprendida por Mendizábal se lleva a cabo entre 1836 y 1837, continuando la llevada a cabo por las cortes de Cádiz y la del trienio liberal. Supone la nacionalización y venta de fincas rústicas y urbanas propiedad del clero. Además se suprimieron instituciones religiosas como la Inquisición, la Compañía de Jesús y algunos conventos, cuyas propiedades también fueron nacionalizadas y vendidas, dando muestras del carácter anticlerical del liberalismo progresista. El objetivo de la desamortización era sanear la hacienda pública, lo que se consiguió, y aumentar el número de pequeños propietarios, en lo que se fracasó porque las tierras fueron adquiridas por la burguesía, al no proporcionar al campesinado créditos baratos. </w:t>
      </w:r>
    </w:p>
    <w:p w:rsidR="00DF5CBE" w:rsidRPr="00DF5CBE" w:rsidRDefault="00DF5CBE" w:rsidP="00DF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1106" w:rsidRDefault="005E793E" w:rsidP="00751CF9">
      <w:pPr>
        <w:spacing w:after="0" w:line="240" w:lineRule="auto"/>
        <w:jc w:val="both"/>
      </w:pPr>
      <w:r>
        <w:rPr>
          <w:rFonts w:ascii="Calibri" w:eastAsia="Times New Roman" w:hAnsi="Calibri" w:cs="Calibri"/>
          <w:b/>
          <w:bCs/>
          <w:color w:val="4F81BD"/>
          <w:sz w:val="20"/>
          <w:szCs w:val="20"/>
          <w:u w:val="single"/>
          <w:lang w:eastAsia="es-ES"/>
        </w:rPr>
        <w:t>5) CONCLUSIÓN</w:t>
      </w:r>
      <w:r w:rsidR="00DF5CBE" w:rsidRPr="00DF5CBE">
        <w:rPr>
          <w:rFonts w:ascii="Calibri" w:eastAsia="Times New Roman" w:hAnsi="Calibri" w:cs="Calibri"/>
          <w:b/>
          <w:bCs/>
          <w:color w:val="4F81BD"/>
          <w:sz w:val="20"/>
          <w:szCs w:val="20"/>
          <w:u w:val="single"/>
          <w:lang w:eastAsia="es-ES"/>
        </w:rPr>
        <w:t>:</w:t>
      </w:r>
      <w:r w:rsidR="00DF5CBE" w:rsidRPr="00DF5CBE">
        <w:rPr>
          <w:rFonts w:ascii="Calibri" w:eastAsia="Times New Roman" w:hAnsi="Calibri" w:cs="Calibri"/>
          <w:color w:val="0B5394"/>
          <w:sz w:val="20"/>
          <w:szCs w:val="20"/>
          <w:lang w:eastAsia="es-ES"/>
        </w:rPr>
        <w:t xml:space="preserve"> El fracaso de la desamortización mantuvo el descontento campesino y su tradicional hambre de tierras</w:t>
      </w:r>
      <w:r w:rsidR="00DF5CBE" w:rsidRPr="00DF5CB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.</w:t>
      </w:r>
    </w:p>
    <w:sectPr w:rsidR="00AB1106" w:rsidSect="00DF5CBE">
      <w:pgSz w:w="11906" w:h="16838"/>
      <w:pgMar w:top="1135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CBE"/>
    <w:rsid w:val="0017534E"/>
    <w:rsid w:val="005E793E"/>
    <w:rsid w:val="007210D8"/>
    <w:rsid w:val="00751CF9"/>
    <w:rsid w:val="00AB1106"/>
    <w:rsid w:val="00B8115F"/>
    <w:rsid w:val="00D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4</cp:revision>
  <dcterms:created xsi:type="dcterms:W3CDTF">2017-10-17T18:53:00Z</dcterms:created>
  <dcterms:modified xsi:type="dcterms:W3CDTF">2018-09-04T17:36:00Z</dcterms:modified>
</cp:coreProperties>
</file>